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2DA3EC">
      <w:pPr>
        <w:snapToGrid w:val="0"/>
        <w:spacing w:before="156" w:beforeLines="50" w:after="156" w:afterLines="50" w:line="360" w:lineRule="auto"/>
        <w:jc w:val="center"/>
        <w:rPr>
          <w:rFonts w:hint="eastAsia" w:ascii="仿宋" w:hAnsi="仿宋" w:eastAsia="仿宋"/>
          <w:b/>
          <w:color w:val="auto"/>
          <w:sz w:val="36"/>
          <w:szCs w:val="36"/>
        </w:rPr>
      </w:pPr>
      <w:bookmarkStart w:id="1" w:name="_GoBack"/>
      <w:bookmarkEnd w:id="1"/>
      <w:r>
        <w:rPr>
          <w:rFonts w:hint="eastAsia" w:ascii="仿宋" w:hAnsi="仿宋" w:eastAsia="仿宋"/>
          <w:b/>
          <w:color w:val="auto"/>
          <w:sz w:val="36"/>
          <w:szCs w:val="36"/>
        </w:rPr>
        <w:t>《量子力学》考试大纲</w:t>
      </w:r>
    </w:p>
    <w:p w14:paraId="2EF67ADD">
      <w:pPr>
        <w:snapToGrid w:val="0"/>
        <w:spacing w:line="360" w:lineRule="auto"/>
        <w:jc w:val="left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color w:val="auto"/>
          <w:sz w:val="28"/>
          <w:szCs w:val="28"/>
        </w:rPr>
        <w:t>（研究生招生考试属于择优选拔性考试，考试大纲及书目仅供参考，考试内容及题型可包括但不仅限于以上范围，主要考察考生分析和解决问题的能力。）</w:t>
      </w:r>
    </w:p>
    <w:p w14:paraId="40D439DD">
      <w:pPr>
        <w:snapToGrid w:val="0"/>
        <w:spacing w:before="156" w:beforeLines="50" w:after="156" w:afterLines="50" w:line="360" w:lineRule="auto"/>
        <w:ind w:firstLine="562" w:firstLineChars="200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ascii="仿宋" w:hAnsi="仿宋" w:eastAsia="仿宋"/>
          <w:b/>
          <w:bCs/>
          <w:color w:val="auto"/>
          <w:sz w:val="28"/>
          <w:szCs w:val="28"/>
        </w:rPr>
        <w:t>一、考试性质</w:t>
      </w:r>
    </w:p>
    <w:p w14:paraId="28BCBB5D">
      <w:pPr>
        <w:snapToGrid w:val="0"/>
        <w:spacing w:line="360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量子力学</w:t>
      </w:r>
      <w:r>
        <w:rPr>
          <w:rFonts w:ascii="仿宋" w:hAnsi="仿宋" w:eastAsia="仿宋"/>
          <w:color w:val="auto"/>
          <w:sz w:val="28"/>
          <w:szCs w:val="28"/>
        </w:rPr>
        <w:t>是</w:t>
      </w:r>
      <w:r>
        <w:rPr>
          <w:rFonts w:hint="eastAsia" w:ascii="仿宋" w:hAnsi="仿宋" w:eastAsia="仿宋"/>
          <w:color w:val="auto"/>
          <w:sz w:val="28"/>
          <w:szCs w:val="28"/>
        </w:rPr>
        <w:t>物理</w:t>
      </w:r>
      <w:r>
        <w:rPr>
          <w:rFonts w:ascii="仿宋" w:hAnsi="仿宋" w:eastAsia="仿宋"/>
          <w:color w:val="auto"/>
          <w:sz w:val="28"/>
          <w:szCs w:val="28"/>
        </w:rPr>
        <w:t>专业学位研究生入学</w:t>
      </w:r>
      <w:r>
        <w:rPr>
          <w:rFonts w:hint="eastAsia" w:ascii="仿宋" w:hAnsi="仿宋" w:eastAsia="仿宋"/>
          <w:color w:val="auto"/>
          <w:sz w:val="28"/>
          <w:szCs w:val="28"/>
        </w:rPr>
        <w:t>统一</w:t>
      </w:r>
      <w:r>
        <w:rPr>
          <w:rFonts w:ascii="仿宋" w:hAnsi="仿宋" w:eastAsia="仿宋"/>
          <w:color w:val="auto"/>
          <w:sz w:val="28"/>
          <w:szCs w:val="28"/>
        </w:rPr>
        <w:t>考试的科目之一。</w:t>
      </w:r>
      <w:r>
        <w:rPr>
          <w:rFonts w:hint="eastAsia" w:ascii="仿宋" w:hAnsi="仿宋" w:eastAsia="仿宋"/>
          <w:color w:val="auto"/>
          <w:sz w:val="28"/>
          <w:szCs w:val="28"/>
        </w:rPr>
        <w:t>量子力学</w:t>
      </w:r>
      <w:r>
        <w:rPr>
          <w:rFonts w:ascii="仿宋" w:hAnsi="仿宋" w:eastAsia="仿宋"/>
          <w:color w:val="auto"/>
          <w:sz w:val="28"/>
          <w:szCs w:val="28"/>
        </w:rPr>
        <w:t>考试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体现了该科目在物理学学习中的重要地位，</w:t>
      </w:r>
      <w:r>
        <w:rPr>
          <w:rFonts w:hint="eastAsia" w:ascii="仿宋" w:hAnsi="仿宋" w:eastAsia="仿宋"/>
          <w:color w:val="auto"/>
          <w:sz w:val="28"/>
          <w:szCs w:val="28"/>
        </w:rPr>
        <w:t>考察</w:t>
      </w:r>
      <w:r>
        <w:rPr>
          <w:rFonts w:ascii="仿宋" w:hAnsi="仿宋" w:eastAsia="仿宋"/>
          <w:color w:val="auto"/>
          <w:sz w:val="28"/>
          <w:szCs w:val="28"/>
        </w:rPr>
        <w:t>考生</w:t>
      </w:r>
      <w:r>
        <w:rPr>
          <w:rFonts w:hint="eastAsia" w:ascii="仿宋" w:hAnsi="仿宋" w:eastAsia="仿宋"/>
          <w:color w:val="auto"/>
          <w:sz w:val="28"/>
          <w:szCs w:val="28"/>
        </w:rPr>
        <w:t>对抽象概念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和</w:t>
      </w:r>
      <w:r>
        <w:rPr>
          <w:rFonts w:hint="eastAsia" w:ascii="仿宋" w:hAnsi="仿宋" w:eastAsia="仿宋"/>
          <w:color w:val="auto"/>
          <w:sz w:val="28"/>
          <w:szCs w:val="28"/>
        </w:rPr>
        <w:t>理论框架的掌握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以及解决微观体系问题的能力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。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该科目考试致力于</w:t>
      </w:r>
      <w:r>
        <w:rPr>
          <w:rFonts w:ascii="仿宋" w:hAnsi="仿宋" w:eastAsia="仿宋"/>
          <w:color w:val="auto"/>
          <w:sz w:val="28"/>
          <w:szCs w:val="28"/>
        </w:rPr>
        <w:t>选拔</w:t>
      </w:r>
      <w:r>
        <w:rPr>
          <w:rFonts w:hint="eastAsia" w:ascii="仿宋" w:hAnsi="仿宋" w:eastAsia="仿宋"/>
          <w:color w:val="auto"/>
          <w:sz w:val="28"/>
          <w:szCs w:val="28"/>
        </w:rPr>
        <w:t>具备勤于思考，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求真创新精神的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能</w:t>
      </w:r>
      <w:r>
        <w:rPr>
          <w:rFonts w:ascii="仿宋" w:hAnsi="仿宋" w:eastAsia="仿宋"/>
          <w:color w:val="auto"/>
          <w:sz w:val="28"/>
          <w:szCs w:val="28"/>
        </w:rPr>
        <w:t>为</w:t>
      </w:r>
      <w:r>
        <w:rPr>
          <w:rFonts w:hint="eastAsia" w:ascii="仿宋" w:hAnsi="仿宋" w:eastAsia="仿宋"/>
          <w:color w:val="auto"/>
          <w:sz w:val="28"/>
          <w:szCs w:val="28"/>
        </w:rPr>
        <w:t>国家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科学发展、技术</w:t>
      </w:r>
      <w:r>
        <w:rPr>
          <w:rFonts w:hint="eastAsia" w:ascii="仿宋" w:hAnsi="仿宋" w:eastAsia="仿宋"/>
          <w:color w:val="auto"/>
          <w:sz w:val="28"/>
          <w:szCs w:val="28"/>
        </w:rPr>
        <w:t>突破、经济腾飞、文化传承</w:t>
      </w:r>
      <w:r>
        <w:rPr>
          <w:rFonts w:hint="eastAsia" w:ascii="仿宋" w:hAnsi="仿宋" w:eastAsia="仿宋"/>
          <w:color w:val="auto"/>
          <w:sz w:val="28"/>
          <w:szCs w:val="28"/>
          <w:lang w:val="en-US" w:eastAsia="zh-CN"/>
        </w:rPr>
        <w:t>做出贡献</w:t>
      </w:r>
      <w:r>
        <w:rPr>
          <w:rFonts w:hint="eastAsia" w:ascii="仿宋" w:hAnsi="仿宋" w:eastAsia="仿宋"/>
          <w:color w:val="auto"/>
          <w:sz w:val="28"/>
          <w:szCs w:val="28"/>
        </w:rPr>
        <w:t>的基础科学人才</w:t>
      </w:r>
      <w:r>
        <w:rPr>
          <w:rFonts w:ascii="仿宋" w:hAnsi="仿宋" w:eastAsia="仿宋"/>
          <w:color w:val="auto"/>
          <w:sz w:val="28"/>
          <w:szCs w:val="28"/>
        </w:rPr>
        <w:t>。</w:t>
      </w:r>
    </w:p>
    <w:p w14:paraId="6B6C9DB9">
      <w:pPr>
        <w:snapToGrid w:val="0"/>
        <w:spacing w:before="156" w:beforeLines="50" w:after="156" w:afterLines="50" w:line="360" w:lineRule="auto"/>
        <w:ind w:firstLine="562" w:firstLineChars="200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二、考试要求</w:t>
      </w:r>
    </w:p>
    <w:p w14:paraId="40EBB23A">
      <w:pPr>
        <w:snapToGrid w:val="0"/>
        <w:spacing w:line="360" w:lineRule="auto"/>
        <w:ind w:firstLine="420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考生要了解量子现象，能够界定学科研究范畴，明确研究对象，准确理解基本概念的含义，掌握微观系统状态的描述方式和状态变化的基本规律，了解重要的、典型的量子系统状态求解的方法。</w:t>
      </w:r>
    </w:p>
    <w:p w14:paraId="2D2123D4">
      <w:pPr>
        <w:snapToGrid w:val="0"/>
        <w:spacing w:before="156" w:beforeLines="50" w:line="360" w:lineRule="auto"/>
        <w:ind w:firstLine="562" w:firstLineChars="200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三</w:t>
      </w:r>
      <w:r>
        <w:rPr>
          <w:rFonts w:ascii="仿宋" w:hAnsi="仿宋" w:eastAsia="仿宋"/>
          <w:b/>
          <w:bCs/>
          <w:color w:val="auto"/>
          <w:sz w:val="28"/>
          <w:szCs w:val="28"/>
        </w:rPr>
        <w:t>、考试分值</w:t>
      </w:r>
    </w:p>
    <w:p w14:paraId="6B683DCD">
      <w:pPr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ascii="仿宋" w:hAnsi="仿宋" w:eastAsia="仿宋"/>
          <w:color w:val="auto"/>
          <w:sz w:val="28"/>
          <w:szCs w:val="28"/>
        </w:rPr>
        <w:t>本科目满分1</w:t>
      </w:r>
      <w:r>
        <w:rPr>
          <w:rFonts w:hint="eastAsia" w:ascii="仿宋" w:hAnsi="仿宋" w:eastAsia="仿宋"/>
          <w:color w:val="auto"/>
          <w:sz w:val="28"/>
          <w:szCs w:val="28"/>
        </w:rPr>
        <w:t>5</w:t>
      </w:r>
      <w:r>
        <w:rPr>
          <w:rFonts w:ascii="仿宋" w:hAnsi="仿宋" w:eastAsia="仿宋"/>
          <w:color w:val="auto"/>
          <w:sz w:val="28"/>
          <w:szCs w:val="28"/>
        </w:rPr>
        <w:t>0分</w:t>
      </w:r>
      <w:r>
        <w:rPr>
          <w:rFonts w:hint="eastAsia" w:ascii="仿宋" w:hAnsi="仿宋" w:eastAsia="仿宋"/>
          <w:color w:val="auto"/>
          <w:sz w:val="28"/>
          <w:szCs w:val="28"/>
        </w:rPr>
        <w:t>。</w:t>
      </w:r>
    </w:p>
    <w:p w14:paraId="413CDDFF">
      <w:pPr>
        <w:snapToGrid w:val="0"/>
        <w:spacing w:before="156" w:beforeLines="50" w:after="156" w:afterLines="50" w:line="360" w:lineRule="auto"/>
        <w:ind w:firstLine="562" w:firstLineChars="200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四、试题结构</w:t>
      </w:r>
    </w:p>
    <w:p w14:paraId="571D4FA9">
      <w:pPr>
        <w:snapToGrid w:val="0"/>
        <w:spacing w:line="360" w:lineRule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简答题和计算题。</w:t>
      </w:r>
    </w:p>
    <w:p w14:paraId="1CECAFFD">
      <w:pPr>
        <w:snapToGrid w:val="0"/>
        <w:spacing w:before="156" w:beforeLines="50" w:line="360" w:lineRule="auto"/>
        <w:ind w:firstLine="562" w:firstLineChars="200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五、参考书目</w:t>
      </w:r>
    </w:p>
    <w:p w14:paraId="419040F7">
      <w:pPr>
        <w:pStyle w:val="2"/>
        <w:numPr>
          <w:ilvl w:val="0"/>
          <w:numId w:val="1"/>
        </w:numPr>
        <w:spacing w:line="360" w:lineRule="auto"/>
        <w:rPr>
          <w:rFonts w:hint="eastAsia" w:ascii="仿宋" w:hAnsi="仿宋" w:eastAsia="仿宋"/>
          <w:color w:val="auto"/>
          <w:sz w:val="28"/>
          <w:szCs w:val="28"/>
        </w:rPr>
      </w:pPr>
      <w:bookmarkStart w:id="0" w:name="OLE_LINK1"/>
      <w:r>
        <w:rPr>
          <w:rFonts w:hint="eastAsia" w:ascii="仿宋" w:hAnsi="仿宋" w:eastAsia="仿宋"/>
          <w:color w:val="auto"/>
          <w:sz w:val="28"/>
          <w:szCs w:val="28"/>
        </w:rPr>
        <w:t>《量子力学教程》周世勋编写，</w:t>
      </w:r>
      <w:bookmarkEnd w:id="0"/>
      <w:r>
        <w:rPr>
          <w:rFonts w:hint="eastAsia" w:ascii="仿宋" w:hAnsi="仿宋" w:eastAsia="仿宋"/>
          <w:color w:val="auto"/>
          <w:sz w:val="28"/>
          <w:szCs w:val="28"/>
        </w:rPr>
        <w:t>高等教育出版社，2</w:t>
      </w:r>
      <w:r>
        <w:rPr>
          <w:rFonts w:ascii="仿宋" w:hAnsi="仿宋" w:eastAsia="仿宋"/>
          <w:color w:val="auto"/>
          <w:sz w:val="28"/>
          <w:szCs w:val="28"/>
        </w:rPr>
        <w:t>0</w:t>
      </w:r>
      <w:r>
        <w:rPr>
          <w:rFonts w:hint="eastAsia" w:ascii="仿宋" w:hAnsi="仿宋" w:eastAsia="仿宋"/>
          <w:color w:val="auto"/>
          <w:sz w:val="28"/>
          <w:szCs w:val="28"/>
        </w:rPr>
        <w:t>21</w:t>
      </w:r>
      <w:r>
        <w:rPr>
          <w:rFonts w:ascii="仿宋" w:hAnsi="仿宋" w:eastAsia="仿宋"/>
          <w:color w:val="auto"/>
          <w:sz w:val="28"/>
          <w:szCs w:val="28"/>
        </w:rPr>
        <w:t>年</w:t>
      </w:r>
      <w:r>
        <w:rPr>
          <w:rFonts w:hint="eastAsia" w:ascii="仿宋" w:hAnsi="仿宋" w:eastAsia="仿宋"/>
          <w:color w:val="auto"/>
          <w:sz w:val="28"/>
          <w:szCs w:val="28"/>
        </w:rPr>
        <w:t>，第3版；</w:t>
      </w:r>
    </w:p>
    <w:p w14:paraId="046C3733">
      <w:pPr>
        <w:pStyle w:val="2"/>
        <w:numPr>
          <w:ilvl w:val="0"/>
          <w:numId w:val="1"/>
        </w:numPr>
        <w:spacing w:line="360" w:lineRule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《量子力学》曾谨言编写，科学出版社，2017年，第3版。</w:t>
      </w:r>
    </w:p>
    <w:p w14:paraId="3F2790ED">
      <w:pPr>
        <w:snapToGrid w:val="0"/>
        <w:spacing w:before="156" w:beforeLines="50" w:after="156" w:afterLines="50" w:line="360" w:lineRule="auto"/>
        <w:ind w:firstLine="562" w:firstLineChars="200"/>
        <w:rPr>
          <w:rFonts w:hint="eastAsia" w:ascii="仿宋" w:hAnsi="仿宋" w:eastAsia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/>
          <w:b/>
          <w:bCs/>
          <w:color w:val="auto"/>
          <w:sz w:val="28"/>
          <w:szCs w:val="28"/>
        </w:rPr>
        <w:t>六、考试内容</w:t>
      </w:r>
    </w:p>
    <w:p w14:paraId="6BEFAD7C">
      <w:pPr>
        <w:pStyle w:val="2"/>
        <w:spacing w:line="360" w:lineRule="auto"/>
        <w:rPr>
          <w:rFonts w:hint="eastAsia" w:ascii="仿宋" w:hAnsi="仿宋" w:eastAsia="仿宋"/>
          <w:b/>
          <w:color w:val="auto"/>
          <w:sz w:val="28"/>
          <w:szCs w:val="28"/>
        </w:rPr>
      </w:pPr>
      <w:r>
        <w:rPr>
          <w:rFonts w:ascii="仿宋" w:hAnsi="仿宋" w:eastAsia="仿宋"/>
          <w:b/>
          <w:color w:val="auto"/>
          <w:sz w:val="28"/>
          <w:szCs w:val="28"/>
        </w:rPr>
        <w:t>第一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部分</w:t>
      </w:r>
      <w:r>
        <w:rPr>
          <w:rFonts w:ascii="仿宋" w:hAnsi="仿宋" w:eastAsia="仿宋"/>
          <w:b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/>
          <w:b/>
          <w:color w:val="auto"/>
          <w:sz w:val="28"/>
          <w:szCs w:val="28"/>
        </w:rPr>
        <w:t>量子力学建立的背景</w:t>
      </w:r>
    </w:p>
    <w:p w14:paraId="5EEA8E25">
      <w:pPr>
        <w:pStyle w:val="2"/>
        <w:spacing w:line="360" w:lineRule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（一）经典物理学遇到的困难与适用范围。</w:t>
      </w:r>
    </w:p>
    <w:p w14:paraId="563BA9B1">
      <w:pPr>
        <w:pStyle w:val="2"/>
        <w:spacing w:line="360" w:lineRule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（二）体现光的粒子属性的相关现象。</w:t>
      </w:r>
    </w:p>
    <w:p w14:paraId="64DF62A2">
      <w:pPr>
        <w:pStyle w:val="2"/>
        <w:spacing w:line="360" w:lineRule="auto"/>
        <w:rPr>
          <w:rFonts w:hint="eastAsia" w:ascii="仿宋" w:hAnsi="仿宋" w:eastAsia="仿宋"/>
          <w:color w:val="auto"/>
          <w:sz w:val="28"/>
          <w:szCs w:val="28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（三）体现微观粒子的波动属性的相关现象。</w:t>
      </w:r>
    </w:p>
    <w:p w14:paraId="68D7D2F7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b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b/>
          <w:color w:val="auto"/>
          <w:kern w:val="0"/>
          <w:sz w:val="28"/>
          <w:szCs w:val="28"/>
        </w:rPr>
        <w:t>第二</w:t>
      </w:r>
      <w:r>
        <w:rPr>
          <w:rFonts w:hint="eastAsia" w:ascii="仿宋" w:hAnsi="仿宋" w:eastAsia="仿宋" w:cs="Helvetica"/>
          <w:b/>
          <w:color w:val="auto"/>
          <w:kern w:val="0"/>
          <w:sz w:val="28"/>
          <w:szCs w:val="28"/>
        </w:rPr>
        <w:t>部分</w:t>
      </w:r>
      <w:r>
        <w:rPr>
          <w:rFonts w:ascii="仿宋" w:hAnsi="仿宋" w:eastAsia="仿宋" w:cs="Helvetica"/>
          <w:b/>
          <w:color w:val="auto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Helvetica"/>
          <w:b/>
          <w:color w:val="auto"/>
          <w:kern w:val="0"/>
          <w:sz w:val="28"/>
          <w:szCs w:val="28"/>
        </w:rPr>
        <w:t>微观体系状态的描述</w:t>
      </w:r>
    </w:p>
    <w:p w14:paraId="569A973E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（一）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波函数的统计诠释、标准条件及其归一化。</w:t>
      </w:r>
    </w:p>
    <w:p w14:paraId="2A8285BB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（二）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态的表象、表象变换与狄拉克符号。</w:t>
      </w:r>
    </w:p>
    <w:p w14:paraId="387DA24A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（三）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态叠加原理。</w:t>
      </w:r>
    </w:p>
    <w:p w14:paraId="3C37D36C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b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b/>
          <w:color w:val="auto"/>
          <w:kern w:val="0"/>
          <w:sz w:val="28"/>
          <w:szCs w:val="28"/>
        </w:rPr>
        <w:t>第三</w:t>
      </w:r>
      <w:r>
        <w:rPr>
          <w:rFonts w:hint="eastAsia" w:ascii="仿宋" w:hAnsi="仿宋" w:eastAsia="仿宋" w:cs="Helvetica"/>
          <w:b/>
          <w:color w:val="auto"/>
          <w:kern w:val="0"/>
          <w:sz w:val="28"/>
          <w:szCs w:val="28"/>
        </w:rPr>
        <w:t>部分</w:t>
      </w:r>
      <w:r>
        <w:rPr>
          <w:rFonts w:ascii="仿宋" w:hAnsi="仿宋" w:eastAsia="仿宋" w:cs="Helvetica"/>
          <w:b/>
          <w:color w:val="auto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Helvetica"/>
          <w:b/>
          <w:color w:val="auto"/>
          <w:kern w:val="0"/>
          <w:sz w:val="28"/>
          <w:szCs w:val="28"/>
        </w:rPr>
        <w:t>微观体系状态变化的基本规律</w:t>
      </w:r>
    </w:p>
    <w:p w14:paraId="1CF3E0CB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（一）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薛定谔方程，定态薛定谔方程。</w:t>
      </w:r>
    </w:p>
    <w:p w14:paraId="379BBBDD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（二）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束缚态：无限深方势阱、谐振子与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原子体系。</w:t>
      </w:r>
    </w:p>
    <w:p w14:paraId="44B6AAC1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（三）势垒贯穿，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  <w:lang w:val="en-US" w:eastAsia="zh-CN"/>
        </w:rPr>
        <w:t>了解散射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过程。</w:t>
      </w:r>
    </w:p>
    <w:p w14:paraId="2EC183C2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b/>
          <w:color w:val="auto"/>
          <w:kern w:val="0"/>
          <w:sz w:val="28"/>
          <w:szCs w:val="28"/>
        </w:rPr>
        <w:t>第四</w:t>
      </w:r>
      <w:r>
        <w:rPr>
          <w:rFonts w:hint="eastAsia" w:ascii="仿宋" w:hAnsi="仿宋" w:eastAsia="仿宋" w:cs="Helvetica"/>
          <w:b/>
          <w:color w:val="auto"/>
          <w:kern w:val="0"/>
          <w:sz w:val="28"/>
          <w:szCs w:val="28"/>
        </w:rPr>
        <w:t>部分</w:t>
      </w:r>
      <w:r>
        <w:rPr>
          <w:rFonts w:ascii="仿宋" w:hAnsi="仿宋" w:eastAsia="仿宋" w:cs="Helvetica"/>
          <w:b/>
          <w:color w:val="auto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Helvetica"/>
          <w:b/>
          <w:color w:val="auto"/>
          <w:kern w:val="0"/>
          <w:sz w:val="28"/>
          <w:szCs w:val="28"/>
        </w:rPr>
        <w:t>力学量</w:t>
      </w:r>
    </w:p>
    <w:p w14:paraId="07BAD383"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（一）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关于算符的一般知识，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  <w:highlight w:val="none"/>
          <w:shd w:val="clear" w:color="auto" w:fill="auto"/>
          <w:lang w:val="en-US" w:eastAsia="zh-CN"/>
        </w:rPr>
        <w:t>能量、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动量、角动量算符。</w:t>
      </w:r>
    </w:p>
    <w:p w14:paraId="4DA4EF71"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（二）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厄米算符本征函数的正交归一性。</w:t>
      </w:r>
    </w:p>
    <w:p w14:paraId="691E8259"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（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三</w:t>
      </w: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）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算符的对易关系，两力学量同时确定的条件。</w:t>
      </w:r>
    </w:p>
    <w:p w14:paraId="50E8748E">
      <w:pPr>
        <w:widowControl/>
        <w:shd w:val="clear" w:color="auto" w:fill="FFFFFF"/>
        <w:spacing w:line="360" w:lineRule="auto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（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四</w:t>
      </w: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）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不确定关系，力学量期望值，守恒量</w:t>
      </w:r>
      <w:r>
        <w:rPr>
          <w:rFonts w:ascii="仿宋" w:hAnsi="仿宋" w:eastAsia="仿宋" w:cs="Helvetica"/>
          <w:color w:val="auto"/>
          <w:kern w:val="0"/>
          <w:sz w:val="28"/>
          <w:szCs w:val="28"/>
        </w:rPr>
        <w:t>。</w:t>
      </w:r>
    </w:p>
    <w:p w14:paraId="00CC4594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b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b/>
          <w:color w:val="auto"/>
          <w:kern w:val="0"/>
          <w:sz w:val="28"/>
          <w:szCs w:val="28"/>
        </w:rPr>
        <w:t>第五</w:t>
      </w:r>
      <w:r>
        <w:rPr>
          <w:rFonts w:hint="eastAsia" w:ascii="仿宋" w:hAnsi="仿宋" w:eastAsia="仿宋" w:cs="Helvetica"/>
          <w:b/>
          <w:color w:val="auto"/>
          <w:kern w:val="0"/>
          <w:sz w:val="28"/>
          <w:szCs w:val="28"/>
        </w:rPr>
        <w:t>部分</w:t>
      </w:r>
      <w:r>
        <w:rPr>
          <w:rFonts w:ascii="仿宋" w:hAnsi="仿宋" w:eastAsia="仿宋" w:cs="Helvetica"/>
          <w:b/>
          <w:color w:val="auto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Helvetica"/>
          <w:b/>
          <w:color w:val="auto"/>
          <w:kern w:val="0"/>
          <w:sz w:val="28"/>
          <w:szCs w:val="28"/>
        </w:rPr>
        <w:t>近似方法</w:t>
      </w:r>
    </w:p>
    <w:p w14:paraId="3795F803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（一）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解量子体系近似方法的概念、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近似方法的重要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  <w:lang w:val="en-US" w:eastAsia="zh-CN"/>
        </w:rPr>
        <w:t>意义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。</w:t>
      </w:r>
    </w:p>
    <w:p w14:paraId="3375B0DB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（二）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定态微扰理论和变分法。</w:t>
      </w:r>
    </w:p>
    <w:p w14:paraId="20B6BF49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（三）原子跃迁量子数的选择定则。</w:t>
      </w:r>
    </w:p>
    <w:p w14:paraId="0F585C3E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b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b/>
          <w:color w:val="auto"/>
          <w:kern w:val="0"/>
          <w:sz w:val="28"/>
          <w:szCs w:val="28"/>
        </w:rPr>
        <w:t>第六</w:t>
      </w:r>
      <w:r>
        <w:rPr>
          <w:rFonts w:hint="eastAsia" w:ascii="仿宋" w:hAnsi="仿宋" w:eastAsia="仿宋" w:cs="Helvetica"/>
          <w:b/>
          <w:color w:val="auto"/>
          <w:kern w:val="0"/>
          <w:sz w:val="28"/>
          <w:szCs w:val="28"/>
        </w:rPr>
        <w:t>部分</w:t>
      </w:r>
      <w:r>
        <w:rPr>
          <w:rFonts w:ascii="仿宋" w:hAnsi="仿宋" w:eastAsia="仿宋" w:cs="Helvetica"/>
          <w:b/>
          <w:color w:val="auto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Helvetica"/>
          <w:b/>
          <w:color w:val="auto"/>
          <w:kern w:val="0"/>
          <w:sz w:val="28"/>
          <w:szCs w:val="28"/>
        </w:rPr>
        <w:t>自旋</w:t>
      </w:r>
    </w:p>
    <w:p w14:paraId="13D632C1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（一）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电子的自旋现象。</w:t>
      </w:r>
    </w:p>
    <w:p w14:paraId="125E0970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（二）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自旋算符和自旋波函数。</w:t>
      </w:r>
    </w:p>
    <w:p w14:paraId="4BD76A99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（三）塞曼效应</w:t>
      </w:r>
      <w:r>
        <w:rPr>
          <w:rFonts w:ascii="仿宋" w:hAnsi="仿宋" w:eastAsia="仿宋" w:cs="Helvetica"/>
          <w:color w:val="auto"/>
          <w:kern w:val="0"/>
          <w:sz w:val="28"/>
          <w:szCs w:val="28"/>
        </w:rPr>
        <w:t>。</w:t>
      </w:r>
    </w:p>
    <w:p w14:paraId="64D9F82E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（四）两个角动量的耦合</w:t>
      </w:r>
      <w:r>
        <w:rPr>
          <w:rFonts w:ascii="仿宋" w:hAnsi="仿宋" w:eastAsia="仿宋" w:cs="Helvetica"/>
          <w:color w:val="auto"/>
          <w:kern w:val="0"/>
          <w:sz w:val="28"/>
          <w:szCs w:val="28"/>
        </w:rPr>
        <w:t>。</w:t>
      </w:r>
    </w:p>
    <w:p w14:paraId="222152A4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b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b/>
          <w:color w:val="auto"/>
          <w:kern w:val="0"/>
          <w:sz w:val="28"/>
          <w:szCs w:val="28"/>
        </w:rPr>
        <w:t>第七</w:t>
      </w:r>
      <w:r>
        <w:rPr>
          <w:rFonts w:hint="eastAsia" w:ascii="仿宋" w:hAnsi="仿宋" w:eastAsia="仿宋" w:cs="Helvetica"/>
          <w:b/>
          <w:color w:val="auto"/>
          <w:kern w:val="0"/>
          <w:sz w:val="28"/>
          <w:szCs w:val="28"/>
        </w:rPr>
        <w:t>部分</w:t>
      </w:r>
      <w:r>
        <w:rPr>
          <w:rFonts w:ascii="仿宋" w:hAnsi="仿宋" w:eastAsia="仿宋" w:cs="Helvetica"/>
          <w:b/>
          <w:color w:val="auto"/>
          <w:kern w:val="0"/>
          <w:sz w:val="28"/>
          <w:szCs w:val="28"/>
        </w:rPr>
        <w:t xml:space="preserve"> </w:t>
      </w:r>
      <w:r>
        <w:rPr>
          <w:rFonts w:hint="eastAsia" w:ascii="仿宋" w:hAnsi="仿宋" w:eastAsia="仿宋" w:cs="Helvetica"/>
          <w:b/>
          <w:color w:val="auto"/>
          <w:kern w:val="0"/>
          <w:sz w:val="28"/>
          <w:szCs w:val="28"/>
        </w:rPr>
        <w:t>全同粒子</w:t>
      </w:r>
    </w:p>
    <w:p w14:paraId="6379442E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（一）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全同粒子的特性。</w:t>
      </w:r>
    </w:p>
    <w:p w14:paraId="18B202C5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（二）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全同粒子波函数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  <w:lang w:val="en-US" w:eastAsia="zh-CN"/>
        </w:rPr>
        <w:t>的性质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与泡利不相容原理。</w:t>
      </w:r>
    </w:p>
    <w:p w14:paraId="7EDB9CCE">
      <w:pPr>
        <w:widowControl/>
        <w:shd w:val="clear" w:color="auto" w:fill="FFFFFF"/>
        <w:spacing w:line="360" w:lineRule="atLeast"/>
        <w:jc w:val="left"/>
        <w:rPr>
          <w:rFonts w:hint="eastAsia" w:ascii="仿宋" w:hAnsi="仿宋" w:eastAsia="仿宋" w:cs="Helvetica"/>
          <w:color w:val="auto"/>
          <w:kern w:val="0"/>
          <w:sz w:val="28"/>
          <w:szCs w:val="28"/>
        </w:rPr>
      </w:pPr>
      <w:r>
        <w:rPr>
          <w:rFonts w:ascii="仿宋" w:hAnsi="仿宋" w:eastAsia="仿宋" w:cs="Helvetica"/>
          <w:color w:val="auto"/>
          <w:kern w:val="0"/>
          <w:sz w:val="28"/>
          <w:szCs w:val="28"/>
        </w:rPr>
        <w:t>（三）</w:t>
      </w:r>
      <w:r>
        <w:rPr>
          <w:rFonts w:hint="eastAsia" w:ascii="仿宋" w:hAnsi="仿宋" w:eastAsia="仿宋" w:cs="Helvetica"/>
          <w:color w:val="auto"/>
          <w:kern w:val="0"/>
          <w:sz w:val="28"/>
          <w:szCs w:val="28"/>
        </w:rPr>
        <w:t>双电子自旋波函数。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0DAE2C"/>
    <w:multiLevelType w:val="singleLevel"/>
    <w:tmpl w:val="E10DAE2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2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VlZTAyN2QzZGRkMjgwM2Q3NzhhMGRiYjdhNjkzMmYifQ=="/>
  </w:docVars>
  <w:rsids>
    <w:rsidRoot w:val="5A444578"/>
    <w:rsid w:val="004169EF"/>
    <w:rsid w:val="00565352"/>
    <w:rsid w:val="007C717F"/>
    <w:rsid w:val="00864887"/>
    <w:rsid w:val="00B52CB9"/>
    <w:rsid w:val="00DB749C"/>
    <w:rsid w:val="00F431B9"/>
    <w:rsid w:val="00FB49A2"/>
    <w:rsid w:val="04285DA7"/>
    <w:rsid w:val="0B4D4F5C"/>
    <w:rsid w:val="0DAD6BC9"/>
    <w:rsid w:val="0DB25F8E"/>
    <w:rsid w:val="105C2EF9"/>
    <w:rsid w:val="11F33019"/>
    <w:rsid w:val="12C86253"/>
    <w:rsid w:val="137F2DB6"/>
    <w:rsid w:val="17424826"/>
    <w:rsid w:val="1AD001F8"/>
    <w:rsid w:val="1DBC4C07"/>
    <w:rsid w:val="1EAB0F03"/>
    <w:rsid w:val="1FC85AE5"/>
    <w:rsid w:val="20880DD0"/>
    <w:rsid w:val="21867A05"/>
    <w:rsid w:val="278247CB"/>
    <w:rsid w:val="292518B2"/>
    <w:rsid w:val="31A37C13"/>
    <w:rsid w:val="36CE5337"/>
    <w:rsid w:val="37104D04"/>
    <w:rsid w:val="37377380"/>
    <w:rsid w:val="375C6DE7"/>
    <w:rsid w:val="38910D12"/>
    <w:rsid w:val="3A1A4D37"/>
    <w:rsid w:val="40A37834"/>
    <w:rsid w:val="4101455B"/>
    <w:rsid w:val="42312C1E"/>
    <w:rsid w:val="445020D7"/>
    <w:rsid w:val="4A8D254F"/>
    <w:rsid w:val="4AC84564"/>
    <w:rsid w:val="4C2222BE"/>
    <w:rsid w:val="503C110B"/>
    <w:rsid w:val="511D4E6A"/>
    <w:rsid w:val="51A72EFC"/>
    <w:rsid w:val="52952D55"/>
    <w:rsid w:val="52C1495F"/>
    <w:rsid w:val="532540D9"/>
    <w:rsid w:val="54176117"/>
    <w:rsid w:val="55BF0815"/>
    <w:rsid w:val="57EE51ED"/>
    <w:rsid w:val="58056CEC"/>
    <w:rsid w:val="589F0489"/>
    <w:rsid w:val="5A0228D6"/>
    <w:rsid w:val="5A444578"/>
    <w:rsid w:val="5C9C1715"/>
    <w:rsid w:val="5D762DD1"/>
    <w:rsid w:val="5D8D744A"/>
    <w:rsid w:val="5FC829BC"/>
    <w:rsid w:val="62D17DD9"/>
    <w:rsid w:val="63512CC8"/>
    <w:rsid w:val="65911CB5"/>
    <w:rsid w:val="66CC2D91"/>
    <w:rsid w:val="68A65864"/>
    <w:rsid w:val="69AA3132"/>
    <w:rsid w:val="6C24541E"/>
    <w:rsid w:val="6E226A84"/>
    <w:rsid w:val="6E31797E"/>
    <w:rsid w:val="6F0532E4"/>
    <w:rsid w:val="6FFB756A"/>
    <w:rsid w:val="70CC53D1"/>
    <w:rsid w:val="74956EB9"/>
    <w:rsid w:val="75B72E5F"/>
    <w:rsid w:val="765E777E"/>
    <w:rsid w:val="79B7167F"/>
    <w:rsid w:val="7E0E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876</Words>
  <Characters>884</Characters>
  <Lines>6</Lines>
  <Paragraphs>1</Paragraphs>
  <TotalTime>223</TotalTime>
  <ScaleCrop>false</ScaleCrop>
  <LinksUpToDate>false</LinksUpToDate>
  <CharactersWithSpaces>891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2022-10-17T01:31:00Z</dcterms:created>
  <dc:creator>86198</dc:creator>
  <cp:lastModifiedBy>布偶小猫猫</cp:lastModifiedBy>
  <dcterms:modified xsi:type="dcterms:W3CDTF">2025-09-28T07:00:50Z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D960F34869294C24B1EABB0496E6DF7B_13</vt:lpwstr>
  </property>
  <property fmtid="{D5CDD505-2E9C-101B-9397-08002B2CF9AE}" pid="4" name="KSOTemplateDocerSaveRecord">
    <vt:lpwstr>eyJoZGlkIjoiYzZhYzRjNTkwYzU5N2Y3MmFhNmFlOTNiOTc5ODU5YzkiLCJ1c2VySWQiOiIxMDExMzA2MjQzIn0=</vt:lpwstr>
  </property>
</Properties>
</file>