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rPr>
          <w:rFonts w:ascii="宋体" w:hAnsi="宋体" w:cs="宋体"/>
          <w:sz w:val="24"/>
        </w:rPr>
      </w:pPr>
      <w:r>
        <w:rPr>
          <w:rFonts w:hint="eastAsia" w:ascii="宋体" w:hAnsi="宋体" w:cs="宋体"/>
          <w:sz w:val="24"/>
        </w:rPr>
        <w:t>附件4：</w:t>
      </w:r>
    </w:p>
    <w:p>
      <w:pPr>
        <w:pStyle w:val="5"/>
        <w:spacing w:line="360" w:lineRule="auto"/>
        <w:jc w:val="center"/>
        <w:rPr>
          <w:rFonts w:hint="eastAsia" w:ascii="宋体" w:hAnsi="宋体" w:cs="宋体"/>
          <w:b/>
          <w:sz w:val="24"/>
          <w:szCs w:val="24"/>
        </w:rPr>
      </w:pPr>
      <w:r>
        <w:rPr>
          <w:rFonts w:hint="eastAsia" w:ascii="宋体" w:hAnsi="宋体"/>
          <w:b/>
          <w:bCs/>
          <w:sz w:val="32"/>
          <w:szCs w:val="32"/>
          <w:shd w:val="clear" w:color="auto" w:fill="FFFFFF"/>
        </w:rPr>
        <w:t>喀什大学2018年免试攻读硕士学位研究生招生目录</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喀什大学的推免生是特指招收应届本科毕业生免试攻读“少数民族语言高层次专门人才特培计划”硕士学位的研究生，为国家和自治区培养一批能够熟练驾驭汉语和维吾尔语言的高层次“双语”教学、研究、翻译人才。推免生的招生对象为：</w:t>
      </w:r>
    </w:p>
    <w:p>
      <w:pPr>
        <w:widowControl/>
        <w:spacing w:line="360" w:lineRule="auto"/>
        <w:ind w:firstLine="480" w:firstLineChars="200"/>
        <w:rPr>
          <w:rFonts w:hint="eastAsia" w:ascii="宋体" w:hAnsi="宋体" w:cs="宋体"/>
          <w:kern w:val="0"/>
          <w:sz w:val="24"/>
        </w:rPr>
      </w:pPr>
      <w:r>
        <w:rPr>
          <w:rFonts w:hint="eastAsia" w:ascii="宋体" w:hAnsi="宋体" w:cs="宋体"/>
          <w:color w:val="FF0000"/>
          <w:kern w:val="0"/>
          <w:sz w:val="24"/>
        </w:rPr>
        <w:t>一是母语为汉语且在大学本科的学习专业为中国语言文学类中国少数民族语言文学（维语言）专业的应届本科毕业生</w:t>
      </w:r>
      <w:r>
        <w:rPr>
          <w:rFonts w:hint="eastAsia" w:ascii="宋体" w:hAnsi="宋体" w:cs="宋体"/>
          <w:kern w:val="0"/>
          <w:sz w:val="24"/>
        </w:rPr>
        <w:t>（</w:t>
      </w:r>
      <w:r>
        <w:rPr>
          <w:rFonts w:hint="eastAsia" w:ascii="宋体" w:hAnsi="宋体"/>
          <w:bCs/>
          <w:sz w:val="24"/>
        </w:rPr>
        <w:t>不含专升本、第二学士学位、独立学院学生、留级学生；</w:t>
      </w:r>
      <w:r>
        <w:rPr>
          <w:rFonts w:hint="eastAsia" w:ascii="宋体" w:hAnsi="宋体" w:cs="宋体"/>
          <w:kern w:val="0"/>
          <w:sz w:val="24"/>
        </w:rPr>
        <w:t>不包括母语为非汉语以及民考汉应届本科毕业生）；</w:t>
      </w:r>
    </w:p>
    <w:p>
      <w:pPr>
        <w:widowControl/>
        <w:spacing w:line="360" w:lineRule="auto"/>
        <w:ind w:firstLine="480" w:firstLineChars="200"/>
        <w:rPr>
          <w:rFonts w:hint="eastAsia" w:ascii="宋体" w:hAnsi="宋体" w:cs="宋体"/>
          <w:color w:val="FF0000"/>
          <w:kern w:val="0"/>
          <w:sz w:val="24"/>
        </w:rPr>
      </w:pPr>
      <w:r>
        <w:rPr>
          <w:rFonts w:hint="eastAsia" w:ascii="宋体" w:hAnsi="宋体" w:cs="宋体"/>
          <w:color w:val="FF0000"/>
          <w:kern w:val="0"/>
          <w:sz w:val="24"/>
        </w:rPr>
        <w:t>二是母语为</w:t>
      </w:r>
      <w:r>
        <w:rPr>
          <w:rFonts w:hint="eastAsia" w:ascii="宋体" w:hAnsi="宋体"/>
          <w:color w:val="FF0000"/>
          <w:sz w:val="24"/>
        </w:rPr>
        <w:t>维吾尔语</w:t>
      </w:r>
      <w:r>
        <w:rPr>
          <w:rFonts w:hint="eastAsia" w:ascii="宋体" w:hAnsi="宋体" w:cs="宋体"/>
          <w:color w:val="FF0000"/>
          <w:kern w:val="0"/>
          <w:sz w:val="24"/>
        </w:rPr>
        <w:t>且在大学本科的学习专业为中国语言文学类的</w:t>
      </w:r>
      <w:r>
        <w:rPr>
          <w:rFonts w:hint="eastAsia" w:ascii="宋体" w:hAnsi="宋体"/>
          <w:color w:val="FF0000"/>
          <w:sz w:val="24"/>
        </w:rPr>
        <w:t>汉语言</w:t>
      </w:r>
      <w:r>
        <w:rPr>
          <w:rFonts w:hint="eastAsia" w:ascii="宋体" w:hAnsi="宋体" w:cs="宋体"/>
          <w:color w:val="FF0000"/>
          <w:kern w:val="0"/>
          <w:sz w:val="24"/>
        </w:rPr>
        <w:t>专业的应届本科毕业生</w:t>
      </w:r>
      <w:r>
        <w:rPr>
          <w:rFonts w:hint="eastAsia" w:ascii="宋体" w:hAnsi="宋体" w:cs="宋体"/>
          <w:kern w:val="0"/>
          <w:sz w:val="24"/>
        </w:rPr>
        <w:t>（</w:t>
      </w:r>
      <w:r>
        <w:rPr>
          <w:rFonts w:hint="eastAsia" w:ascii="宋体" w:hAnsi="宋体"/>
          <w:sz w:val="24"/>
        </w:rPr>
        <w:t>不含专升本、第二学士学位、独立学院学生、留级学生）。</w:t>
      </w:r>
    </w:p>
    <w:p>
      <w:pPr>
        <w:spacing w:line="360" w:lineRule="auto"/>
        <w:ind w:firstLine="482" w:firstLineChars="200"/>
        <w:rPr>
          <w:rFonts w:hint="eastAsia" w:ascii="宋体" w:hAnsi="宋体" w:cs="宋体"/>
          <w:b/>
          <w:bCs/>
          <w:color w:val="FF0000"/>
          <w:sz w:val="24"/>
          <w:shd w:val="clear" w:color="auto" w:fill="FFFFFF"/>
        </w:rPr>
      </w:pPr>
      <w:r>
        <w:rPr>
          <w:rFonts w:hint="eastAsia" w:ascii="宋体" w:hAnsi="宋体" w:cs="宋体"/>
          <w:b/>
          <w:bCs/>
          <w:color w:val="FF0000"/>
          <w:sz w:val="24"/>
          <w:shd w:val="clear" w:color="auto" w:fill="FFFFFF"/>
        </w:rPr>
        <w:t xml:space="preserve"> 所有推免生也必须进行网上报名和现场确认！</w:t>
      </w:r>
    </w:p>
    <w:p>
      <w:pPr>
        <w:spacing w:line="360" w:lineRule="auto"/>
        <w:ind w:firstLine="422" w:firstLineChars="200"/>
        <w:jc w:val="left"/>
        <w:rPr>
          <w:rFonts w:hint="eastAsia" w:ascii="宋体" w:hAnsi="宋体" w:cs="宋体"/>
          <w:b/>
          <w:bCs/>
          <w:color w:val="FF0000"/>
          <w:szCs w:val="21"/>
          <w:shd w:val="clear" w:color="auto" w:fill="FFFFFF"/>
        </w:rPr>
      </w:pPr>
    </w:p>
    <w:p>
      <w:pPr>
        <w:jc w:val="center"/>
        <w:rPr>
          <w:rFonts w:hint="eastAsia" w:ascii="宋体" w:hAnsi="宋体" w:cs="宋体"/>
          <w:b/>
          <w:sz w:val="28"/>
          <w:szCs w:val="28"/>
        </w:rPr>
      </w:pPr>
      <w:r>
        <w:rPr>
          <w:rFonts w:hint="eastAsia" w:ascii="宋体" w:hAnsi="宋体" w:cs="宋体"/>
          <w:b/>
          <w:sz w:val="28"/>
          <w:szCs w:val="28"/>
        </w:rPr>
        <w:t>喀什大学2018年免试攻读硕士学位研究生招生专业目录</w:t>
      </w:r>
    </w:p>
    <w:tbl>
      <w:tblPr>
        <w:tblStyle w:val="4"/>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40"/>
        <w:gridCol w:w="637"/>
        <w:gridCol w:w="1843"/>
        <w:gridCol w:w="1260"/>
        <w:gridCol w:w="11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s="Arial"/>
                <w:b/>
                <w:bCs/>
                <w:sz w:val="18"/>
                <w:szCs w:val="18"/>
              </w:rPr>
            </w:pPr>
            <w:r>
              <w:rPr>
                <w:rFonts w:hint="eastAsia" w:ascii="黑体" w:hAnsi="黑体" w:eastAsia="黑体" w:cs="Arial"/>
                <w:b/>
                <w:bCs/>
                <w:sz w:val="18"/>
                <w:szCs w:val="18"/>
              </w:rPr>
              <w:t>学科名称及代码</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s="Arial"/>
                <w:b/>
                <w:bCs/>
                <w:sz w:val="18"/>
                <w:szCs w:val="18"/>
              </w:rPr>
            </w:pPr>
            <w:r>
              <w:rPr>
                <w:rFonts w:hint="eastAsia" w:ascii="黑体" w:hAnsi="黑体" w:eastAsia="黑体" w:cs="Arial"/>
                <w:b/>
                <w:bCs/>
                <w:sz w:val="18"/>
                <w:szCs w:val="18"/>
              </w:rPr>
              <w:t>招生专业名称代码</w:t>
            </w:r>
          </w:p>
        </w:tc>
        <w:tc>
          <w:tcPr>
            <w:tcW w:w="6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黑体" w:hAnsi="黑体" w:eastAsia="黑体" w:cs="Arial"/>
                <w:b/>
                <w:bCs/>
                <w:sz w:val="18"/>
                <w:szCs w:val="18"/>
              </w:rPr>
            </w:pPr>
            <w:r>
              <w:rPr>
                <w:rFonts w:hint="eastAsia" w:ascii="黑体" w:hAnsi="黑体" w:eastAsia="黑体" w:cs="Arial"/>
                <w:b/>
                <w:bCs/>
                <w:sz w:val="18"/>
                <w:szCs w:val="18"/>
              </w:rPr>
              <w:t>全日制</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s="Arial"/>
                <w:b/>
                <w:bCs/>
                <w:sz w:val="18"/>
                <w:szCs w:val="18"/>
              </w:rPr>
            </w:pPr>
            <w:r>
              <w:rPr>
                <w:rFonts w:hint="eastAsia" w:ascii="黑体" w:hAnsi="黑体" w:eastAsia="黑体" w:cs="Arial"/>
                <w:b/>
                <w:bCs/>
                <w:sz w:val="18"/>
                <w:szCs w:val="18"/>
              </w:rPr>
              <w:t>研究方向</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s="Arial"/>
                <w:b/>
                <w:bCs/>
                <w:sz w:val="18"/>
                <w:szCs w:val="18"/>
              </w:rPr>
            </w:pPr>
            <w:r>
              <w:rPr>
                <w:rFonts w:hint="eastAsia" w:ascii="黑体" w:hAnsi="黑体" w:eastAsia="黑体" w:cs="Arial"/>
                <w:b/>
                <w:bCs/>
                <w:sz w:val="18"/>
                <w:szCs w:val="18"/>
              </w:rPr>
              <w:t>初试科目</w:t>
            </w:r>
          </w:p>
        </w:tc>
        <w:tc>
          <w:tcPr>
            <w:tcW w:w="11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黑体" w:hAnsi="黑体" w:eastAsia="黑体" w:cs="Arial"/>
                <w:b/>
                <w:bCs/>
                <w:sz w:val="18"/>
                <w:szCs w:val="18"/>
              </w:rPr>
            </w:pPr>
            <w:r>
              <w:rPr>
                <w:rFonts w:hint="eastAsia" w:ascii="黑体" w:hAnsi="黑体" w:eastAsia="黑体" w:cs="Arial"/>
                <w:b/>
                <w:bCs/>
                <w:sz w:val="18"/>
                <w:szCs w:val="18"/>
              </w:rPr>
              <w:t>复试科目</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s="Arial"/>
                <w:b/>
                <w:bCs/>
                <w:sz w:val="18"/>
                <w:szCs w:val="18"/>
              </w:rPr>
            </w:pPr>
            <w:r>
              <w:rPr>
                <w:rFonts w:hint="eastAsia" w:ascii="黑体" w:hAnsi="黑体" w:eastAsia="黑体" w:cs="Arial"/>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90" w:hanging="90" w:hangingChars="50"/>
              <w:jc w:val="center"/>
              <w:rPr>
                <w:rFonts w:hint="eastAsia"/>
                <w:sz w:val="18"/>
                <w:szCs w:val="18"/>
              </w:rPr>
            </w:pPr>
            <w:r>
              <w:rPr>
                <w:sz w:val="18"/>
                <w:szCs w:val="18"/>
              </w:rPr>
              <w:t>05</w:t>
            </w:r>
          </w:p>
          <w:p>
            <w:pPr>
              <w:spacing w:line="240" w:lineRule="exact"/>
              <w:ind w:left="90" w:hanging="90" w:hangingChars="50"/>
              <w:jc w:val="center"/>
              <w:rPr>
                <w:sz w:val="18"/>
                <w:szCs w:val="18"/>
              </w:rPr>
            </w:pPr>
            <w:r>
              <w:rPr>
                <w:sz w:val="18"/>
                <w:szCs w:val="18"/>
              </w:rPr>
              <w:t>文学</w:t>
            </w:r>
          </w:p>
          <w:p>
            <w:pPr>
              <w:spacing w:line="240" w:lineRule="exact"/>
              <w:jc w:val="center"/>
              <w:rPr>
                <w:sz w:val="18"/>
                <w:szCs w:val="18"/>
              </w:rPr>
            </w:pPr>
            <w:r>
              <w:rPr>
                <w:sz w:val="18"/>
                <w:szCs w:val="18"/>
              </w:rPr>
              <w:t>中国语言文学0501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语言学及应用语言学050102</w:t>
            </w:r>
          </w:p>
        </w:tc>
        <w:tc>
          <w:tcPr>
            <w:tcW w:w="6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7</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sz w:val="18"/>
                <w:szCs w:val="18"/>
              </w:rPr>
            </w:pPr>
            <w:r>
              <w:rPr>
                <w:sz w:val="18"/>
                <w:szCs w:val="18"/>
              </w:rPr>
              <w:t>汉维翻译理论与实践研究</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现代汉语</w:t>
            </w:r>
          </w:p>
        </w:tc>
        <w:tc>
          <w:tcPr>
            <w:tcW w:w="11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民族汉语言专业毕业生报考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sz w:val="18"/>
                <w:szCs w:val="1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r>
              <w:rPr>
                <w:sz w:val="18"/>
                <w:szCs w:val="18"/>
              </w:rPr>
              <w:t>中国少数民族语言文学050107</w:t>
            </w:r>
          </w:p>
        </w:tc>
        <w:tc>
          <w:tcPr>
            <w:tcW w:w="6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20</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sz w:val="18"/>
                <w:szCs w:val="18"/>
              </w:rPr>
            </w:pPr>
            <w:r>
              <w:rPr>
                <w:sz w:val="18"/>
                <w:szCs w:val="18"/>
              </w:rPr>
              <w:t>维汉翻译理论与实践研究</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现代维语</w:t>
            </w:r>
          </w:p>
        </w:tc>
        <w:tc>
          <w:tcPr>
            <w:tcW w:w="11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汉族维吾尔语言专业生报考</w:t>
            </w:r>
          </w:p>
        </w:tc>
      </w:tr>
    </w:tbl>
    <w:p>
      <w:pPr>
        <w:spacing w:line="320" w:lineRule="exact"/>
        <w:rPr>
          <w:rFonts w:hint="eastAsia" w:ascii="楷体_GB2312" w:hAnsi="宋体" w:eastAsia="楷体_GB2312"/>
          <w:b/>
          <w:sz w:val="20"/>
          <w:szCs w:val="32"/>
        </w:rPr>
      </w:pPr>
      <w:r>
        <w:rPr>
          <w:rFonts w:hint="eastAsia" w:ascii="楷体_GB2312" w:hAnsi="宋体" w:eastAsia="楷体_GB2312"/>
          <w:b/>
          <w:sz w:val="20"/>
          <w:szCs w:val="32"/>
        </w:rPr>
        <w:t>注：表内招生计划为虚拟计划，实际按上级核定的计划数和报考情况调整执行。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Arial Narrow">
    <w:panose1 w:val="020B0606020202030204"/>
    <w:charset w:val="01"/>
    <w:family w:val="swiss"/>
    <w:pitch w:val="default"/>
    <w:sig w:usb0="00000287" w:usb1="00000800" w:usb2="00000000" w:usb3="00000000" w:csb0="2000009F" w:csb1="DFD7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Arial">
    <w:altName w:val="Arial Narrow"/>
    <w:panose1 w:val="020B0604020202020204"/>
    <w:charset w:val="00"/>
    <w:family w:val="swiss"/>
    <w:pitch w:val="default"/>
    <w:sig w:usb0="00000000" w:usb1="00000000"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868F5"/>
    <w:rsid w:val="3B935D2C"/>
    <w:rsid w:val="3C6868F5"/>
    <w:rsid w:val="7C517285"/>
    <w:rsid w:val="7D3B1C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qFormat/>
    <w:uiPriority w:val="0"/>
    <w:rPr>
      <w:b/>
      <w:bCs/>
    </w:rPr>
  </w:style>
  <w:style w:type="paragraph" w:customStyle="1" w:styleId="5">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2017-09-08T08:45:00Z</dcterms:created>
  <dc:creator>Administrator</dc:creator>
  <cp:lastModifiedBy>Administrator</cp:lastModifiedBy>
  <dcterms:modified xsi:type="dcterms:W3CDTF">2017-09-08T08:48:30Z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