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30"/>
          <w:szCs w:val="30"/>
        </w:rPr>
      </w:pPr>
      <w:r>
        <w:rPr>
          <w:rFonts w:hint="eastAsia" w:ascii="Times New Roman" w:hAnsi="Times New Roman"/>
          <w:b/>
          <w:sz w:val="30"/>
          <w:szCs w:val="30"/>
        </w:rPr>
        <w:t>附件1：</w:t>
      </w:r>
    </w:p>
    <w:p>
      <w:pPr>
        <w:jc w:val="center"/>
        <w:rPr>
          <w:rFonts w:ascii="仿宋_GB2312" w:eastAsia="仿宋_GB2312"/>
          <w:b/>
          <w:sz w:val="32"/>
          <w:szCs w:val="32"/>
        </w:rPr>
      </w:pPr>
      <w:r>
        <w:rPr>
          <w:rFonts w:hint="eastAsia" w:ascii="仿宋_GB2312" w:eastAsia="仿宋_GB2312"/>
          <w:b/>
          <w:sz w:val="32"/>
          <w:szCs w:val="32"/>
        </w:rPr>
        <w:t>郑州烟草研究院20</w:t>
      </w:r>
      <w:r>
        <w:rPr>
          <w:rFonts w:hint="eastAsia" w:ascii="仿宋_GB2312" w:eastAsia="仿宋_GB2312"/>
          <w:b/>
          <w:sz w:val="32"/>
          <w:szCs w:val="32"/>
          <w:lang w:val="en-US" w:eastAsia="zh-CN"/>
        </w:rPr>
        <w:t>21</w:t>
      </w:r>
      <w:r>
        <w:rPr>
          <w:rFonts w:hint="eastAsia" w:ascii="仿宋_GB2312" w:eastAsia="仿宋_GB2312"/>
          <w:b/>
          <w:sz w:val="32"/>
          <w:szCs w:val="32"/>
        </w:rPr>
        <w:t>年博士后招收计划表</w:t>
      </w:r>
    </w:p>
    <w:tbl>
      <w:tblPr>
        <w:tblStyle w:val="5"/>
        <w:tblW w:w="146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52"/>
        <w:gridCol w:w="4087"/>
        <w:gridCol w:w="120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序号</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需求部门</w:t>
            </w: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sz w:val="28"/>
                <w:szCs w:val="28"/>
              </w:rPr>
            </w:pPr>
            <w:r>
              <w:rPr>
                <w:rFonts w:hint="eastAsia" w:ascii="仿宋_GB2312" w:eastAsia="仿宋_GB2312"/>
                <w:b/>
                <w:sz w:val="28"/>
                <w:szCs w:val="28"/>
              </w:rPr>
              <w:t>所需专业方向</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需求数</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81" w:firstLineChars="100"/>
              <w:jc w:val="center"/>
              <w:rPr>
                <w:rFonts w:ascii="仿宋_GB2312" w:eastAsia="仿宋_GB2312"/>
                <w:b/>
                <w:sz w:val="28"/>
                <w:szCs w:val="28"/>
              </w:rPr>
            </w:pPr>
            <w:r>
              <w:rPr>
                <w:rFonts w:hint="eastAsia" w:ascii="仿宋_GB2312" w:eastAsia="仿宋_GB2312"/>
                <w:b/>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ascii="仿宋" w:hAnsi="仿宋" w:eastAsia="仿宋"/>
                <w:szCs w:val="21"/>
              </w:rPr>
            </w:pPr>
            <w:r>
              <w:rPr>
                <w:rFonts w:hint="eastAsia" w:ascii="仿宋" w:hAnsi="仿宋" w:eastAsia="仿宋"/>
                <w:szCs w:val="21"/>
              </w:rPr>
              <w:t>1</w:t>
            </w:r>
          </w:p>
        </w:tc>
        <w:tc>
          <w:tcPr>
            <w:tcW w:w="1352"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烟草农业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研究室</w:t>
            </w: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植物生理</w:t>
            </w:r>
          </w:p>
        </w:tc>
        <w:tc>
          <w:tcPr>
            <w:tcW w:w="1200"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有农学背景、博士研究方向为营养生理、生长模拟者优先考虑。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29"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ascii="仿宋" w:hAnsi="仿宋" w:eastAsia="仿宋"/>
                <w:szCs w:val="21"/>
              </w:rPr>
            </w:pPr>
            <w:r>
              <w:rPr>
                <w:rFonts w:hint="eastAsia" w:ascii="仿宋" w:hAnsi="仿宋" w:eastAsia="仿宋"/>
                <w:szCs w:val="21"/>
              </w:rPr>
              <w:t>2</w:t>
            </w:r>
          </w:p>
        </w:tc>
        <w:tc>
          <w:tcPr>
            <w:tcW w:w="1352" w:type="dxa"/>
            <w:vMerge w:val="restart"/>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烟草工艺</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研究室</w:t>
            </w: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大数据/工业控制/智能测控/机电一体化/光学等</w:t>
            </w:r>
          </w:p>
        </w:tc>
        <w:tc>
          <w:tcPr>
            <w:tcW w:w="1200"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人</w:t>
            </w:r>
          </w:p>
        </w:tc>
        <w:tc>
          <w:tcPr>
            <w:tcW w:w="7275" w:type="dxa"/>
            <w:vMerge w:val="restart"/>
            <w:tcBorders>
              <w:top w:val="single" w:color="auto" w:sz="4" w:space="0"/>
              <w:left w:val="single" w:color="auto" w:sz="4" w:space="0"/>
              <w:right w:val="single" w:color="auto" w:sz="4" w:space="0"/>
            </w:tcBorders>
            <w:shd w:val="clear" w:color="auto" w:fill="auto"/>
            <w:vAlign w:val="center"/>
          </w:tcPr>
          <w:p>
            <w:pPr>
              <w:rPr>
                <w:rFonts w:hint="eastAsia" w:eastAsia="宋体" w:asciiTheme="minorEastAsia" w:hAnsiTheme="minorEastAsia"/>
                <w:szCs w:val="21"/>
                <w:lang w:eastAsia="zh-CN"/>
              </w:rPr>
            </w:pPr>
            <w:r>
              <w:rPr>
                <w:rFonts w:hint="eastAsia"/>
              </w:rPr>
              <w:t>博士毕业</w:t>
            </w:r>
            <w:r>
              <w:rPr>
                <w:rFonts w:hint="eastAsia"/>
                <w:lang w:eastAsia="zh-CN"/>
              </w:rPr>
              <w:t>于</w:t>
            </w:r>
            <w:r>
              <w:rPr>
                <w:rFonts w:hint="eastAsia"/>
              </w:rPr>
              <w:t>双一流/985/211/中科院等</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化学工程/化学工艺/材料/热能工程/生物质综合利用等</w:t>
            </w:r>
          </w:p>
        </w:tc>
        <w:tc>
          <w:tcPr>
            <w:tcW w:w="1200"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rPr>
            </w:pPr>
          </w:p>
        </w:tc>
        <w:tc>
          <w:tcPr>
            <w:tcW w:w="7275" w:type="dxa"/>
            <w:vMerge w:val="continue"/>
            <w:tcBorders>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9"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ascii="仿宋" w:hAnsi="仿宋" w:eastAsia="仿宋"/>
                <w:szCs w:val="21"/>
              </w:rPr>
            </w:pPr>
            <w:r>
              <w:rPr>
                <w:rFonts w:hint="eastAsia" w:ascii="仿宋" w:hAnsi="仿宋" w:eastAsia="仿宋"/>
                <w:szCs w:val="21"/>
              </w:rPr>
              <w:t>3</w:t>
            </w:r>
          </w:p>
        </w:tc>
        <w:tc>
          <w:tcPr>
            <w:tcW w:w="1352" w:type="dxa"/>
            <w:vMerge w:val="restart"/>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烟草化学</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研究室</w:t>
            </w: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仿生材料</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分析化学</w:t>
            </w:r>
            <w:r>
              <w:rPr>
                <w:rFonts w:hint="eastAsia" w:asciiTheme="minorEastAsia" w:hAnsiTheme="minorEastAsia" w:eastAsiaTheme="minorEastAsia"/>
                <w:szCs w:val="21"/>
                <w:lang w:val="en-US" w:eastAsia="zh-CN"/>
              </w:rPr>
              <w:t>/细胞生物学</w:t>
            </w:r>
          </w:p>
        </w:tc>
        <w:tc>
          <w:tcPr>
            <w:tcW w:w="1200"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具备微流控芯片的设计与制作等研究经验；熟练掌握细胞生物学、分子生物学、分析化学等专业技能；具有器官芯片研究相关背景者优先。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rPr>
            </w:pP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植物化学/食品化学</w:t>
            </w:r>
          </w:p>
        </w:tc>
        <w:tc>
          <w:tcPr>
            <w:tcW w:w="1200"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rPr>
            </w:pP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具有液相色谱</w:t>
            </w:r>
            <w:r>
              <w:rPr>
                <w:rFonts w:hint="eastAsia" w:asciiTheme="minorEastAsia" w:hAnsiTheme="minorEastAsia" w:eastAsiaTheme="minorEastAsia"/>
                <w:szCs w:val="21"/>
                <w:lang w:val="en-US" w:eastAsia="zh-CN"/>
              </w:rPr>
              <w:t>-质谱联用技术、植物/食品/生命体液等复杂样品分析的相关背景知识及研究经验；具有代谢组学研究基础、液相色谱-高分辨质谱工作经验者优先。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29" w:type="dxa"/>
            <w:vMerge w:val="restart"/>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352" w:type="dxa"/>
            <w:vMerge w:val="restart"/>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烟草香料</w:t>
            </w:r>
          </w:p>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研究室</w:t>
            </w: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分析化学</w:t>
            </w:r>
          </w:p>
        </w:tc>
        <w:tc>
          <w:tcPr>
            <w:tcW w:w="1200" w:type="dxa"/>
            <w:vMerge w:val="restart"/>
            <w:tcBorders>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rPr>
            </w:pPr>
            <w:r>
              <w:rPr>
                <w:rFonts w:hint="eastAsia"/>
              </w:rPr>
              <w:t>熟悉各种类型的现代主流质谱仪器，具备熟练的质谱仪器操作技能，有质谱敞源式离子源设计与开发经验者优先。</w:t>
            </w:r>
          </w:p>
          <w:p>
            <w:pPr>
              <w:spacing w:line="300" w:lineRule="exact"/>
              <w:jc w:val="left"/>
              <w:rPr>
                <w:rFonts w:hint="eastAsia" w:asciiTheme="minorEastAsia" w:hAnsiTheme="minorEastAsia" w:eastAsiaTheme="minorEastAsia"/>
                <w:szCs w:val="21"/>
                <w:lang w:eastAsia="zh-CN"/>
              </w:rPr>
            </w:pPr>
            <w:r>
              <w:rPr>
                <w:rFonts w:hint="eastAsia"/>
              </w:rPr>
              <w:t>具有生物体液复杂基质中痕量靶标物及其代谢物分离分析的研究背景，可以熟练操作现代主流液质联用、气质联用仪器，其中有分离富集材料设计开发、活体脑区取样及生物样本分析经验者优先。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p>
        </w:tc>
        <w:tc>
          <w:tcPr>
            <w:tcW w:w="40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分析化学</w:t>
            </w:r>
          </w:p>
        </w:tc>
        <w:tc>
          <w:tcPr>
            <w:tcW w:w="1200" w:type="dxa"/>
            <w:vMerge w:val="continue"/>
            <w:tcBorders>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rPr>
            </w:pP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rPr>
            </w:pPr>
            <w:r>
              <w:rPr>
                <w:rFonts w:hint="eastAsia"/>
              </w:rPr>
              <w:t>熟悉各种类型的现代主流质谱仪器，具备熟练的质谱仪器操作技能，有质谱敞源式离子源设计与开发经验者优先。</w:t>
            </w:r>
          </w:p>
          <w:p>
            <w:pPr>
              <w:spacing w:line="300" w:lineRule="exact"/>
              <w:jc w:val="left"/>
              <w:rPr>
                <w:rFonts w:hint="eastAsia" w:asciiTheme="minorEastAsia" w:hAnsiTheme="minorEastAsia" w:eastAsiaTheme="minorEastAsia"/>
                <w:szCs w:val="21"/>
                <w:lang w:eastAsia="zh-CN"/>
              </w:rPr>
            </w:pPr>
            <w:r>
              <w:rPr>
                <w:rFonts w:hint="eastAsia"/>
              </w:rPr>
              <w:t>具有生物体液复杂基质中痕量靶标物及其代谢物分离分析的研究背景，可以熟练操作现代主流液质联用、气质联用仪器，其中有分离富集材料设计开发、活体脑区取样及生物样本分析经验者优先。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9"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352" w:type="dxa"/>
            <w:vMerge w:val="restart"/>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质检中心</w:t>
            </w: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heme="minorEastAsia" w:hAnsiTheme="minorEastAsia" w:eastAsiaTheme="minorEastAsia"/>
                <w:szCs w:val="21"/>
              </w:rPr>
            </w:pPr>
            <w:r>
              <w:rPr>
                <w:rFonts w:hint="eastAsia"/>
              </w:rPr>
              <w:t>分析化学</w:t>
            </w:r>
          </w:p>
        </w:tc>
        <w:tc>
          <w:tcPr>
            <w:tcW w:w="1200" w:type="dxa"/>
            <w:vMerge w:val="restart"/>
            <w:tcBorders>
              <w:top w:val="single" w:color="auto" w:sz="4" w:space="0"/>
              <w:left w:val="single" w:color="auto" w:sz="4" w:space="0"/>
              <w:right w:val="single" w:color="auto" w:sz="4" w:space="0"/>
            </w:tcBorders>
            <w:shd w:val="clear" w:color="auto" w:fill="auto"/>
            <w:vAlign w:val="center"/>
          </w:tcPr>
          <w:p>
            <w:pPr>
              <w:spacing w:line="300" w:lineRule="exact"/>
              <w:ind w:firstLine="420" w:firstLineChars="200"/>
              <w:jc w:val="both"/>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有色谱、质谱、高分辨质谱及代谢组学研究等经验。</w:t>
            </w:r>
          </w:p>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研究方向：生物标志物的发现及风险预测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rPr>
            </w:pPr>
            <w:r>
              <w:rPr>
                <w:rFonts w:hint="eastAsia"/>
              </w:rPr>
              <w:t>生物学</w:t>
            </w:r>
            <w:r>
              <w:rPr>
                <w:rFonts w:hint="eastAsia"/>
                <w:lang w:val="en-US" w:eastAsia="zh-CN"/>
              </w:rPr>
              <w:t>/</w:t>
            </w:r>
            <w:r>
              <w:rPr>
                <w:rFonts w:hint="eastAsia"/>
              </w:rPr>
              <w:t>分子生物学</w:t>
            </w:r>
          </w:p>
        </w:tc>
        <w:tc>
          <w:tcPr>
            <w:tcW w:w="1200" w:type="dxa"/>
            <w:vMerge w:val="continue"/>
            <w:tcBorders>
              <w:left w:val="single" w:color="auto" w:sz="4" w:space="0"/>
              <w:right w:val="single" w:color="auto" w:sz="4" w:space="0"/>
            </w:tcBorders>
            <w:shd w:val="clear" w:color="auto" w:fill="auto"/>
          </w:tcPr>
          <w:p>
            <w:pPr>
              <w:spacing w:line="300" w:lineRule="exact"/>
              <w:jc w:val="center"/>
              <w:rPr>
                <w:rFonts w:hint="eastAsia" w:asciiTheme="minorEastAsia" w:hAnsiTheme="minorEastAsia" w:eastAsiaTheme="minorEastAsia"/>
                <w:szCs w:val="21"/>
              </w:rPr>
            </w:pPr>
          </w:p>
        </w:tc>
        <w:tc>
          <w:tcPr>
            <w:tcW w:w="7275" w:type="dxa"/>
            <w:tcBorders>
              <w:top w:val="single" w:color="auto" w:sz="4" w:space="0"/>
              <w:left w:val="single" w:color="auto" w:sz="4" w:space="0"/>
              <w:bottom w:val="single" w:color="auto" w:sz="4" w:space="0"/>
              <w:right w:val="single" w:color="auto" w:sz="4" w:space="0"/>
            </w:tcBorders>
            <w:shd w:val="clear" w:color="auto" w:fill="auto"/>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有神经生物学、物质依赖、动物模型构建等经验。</w:t>
            </w:r>
          </w:p>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研究方向：成瘾的神经生物学效应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ascii="仿宋" w:hAnsi="仿宋" w:eastAsia="仿宋"/>
                <w:szCs w:val="21"/>
              </w:rPr>
            </w:pPr>
          </w:p>
        </w:tc>
        <w:tc>
          <w:tcPr>
            <w:tcW w:w="1352" w:type="dxa"/>
            <w:vMerge w:val="continue"/>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heme="minorEastAsia" w:hAnsiTheme="minorEastAsia" w:eastAsiaTheme="minorEastAsia"/>
                <w:szCs w:val="21"/>
              </w:rPr>
            </w:pPr>
            <w:r>
              <w:rPr>
                <w:rFonts w:hint="eastAsia"/>
              </w:rPr>
              <w:t>卫生毒理学</w:t>
            </w:r>
            <w:r>
              <w:rPr>
                <w:rFonts w:hint="eastAsia"/>
                <w:lang w:val="en-US" w:eastAsia="zh-CN"/>
              </w:rPr>
              <w:t>/</w:t>
            </w:r>
            <w:r>
              <w:rPr>
                <w:rFonts w:hint="eastAsia"/>
              </w:rPr>
              <w:t>环境毒理学</w:t>
            </w:r>
          </w:p>
        </w:tc>
        <w:tc>
          <w:tcPr>
            <w:tcW w:w="1200" w:type="dxa"/>
            <w:vMerge w:val="continue"/>
            <w:tcBorders>
              <w:left w:val="single" w:color="auto" w:sz="4" w:space="0"/>
              <w:right w:val="single" w:color="auto" w:sz="4" w:space="0"/>
            </w:tcBorders>
            <w:shd w:val="clear" w:color="auto" w:fill="auto"/>
          </w:tcPr>
          <w:p>
            <w:pPr>
              <w:spacing w:line="300" w:lineRule="exact"/>
              <w:jc w:val="center"/>
              <w:rPr>
                <w:rFonts w:asciiTheme="minorEastAsia" w:hAnsiTheme="minorEastAsia" w:eastAsiaTheme="minorEastAsia"/>
                <w:szCs w:val="21"/>
              </w:rPr>
            </w:pPr>
          </w:p>
        </w:tc>
        <w:tc>
          <w:tcPr>
            <w:tcW w:w="7275" w:type="dxa"/>
            <w:tcBorders>
              <w:top w:val="single" w:color="auto" w:sz="4" w:space="0"/>
              <w:left w:val="single" w:color="auto" w:sz="4" w:space="0"/>
              <w:bottom w:val="single" w:color="auto" w:sz="4" w:space="0"/>
              <w:right w:val="single" w:color="auto" w:sz="4" w:space="0"/>
            </w:tcBorders>
            <w:shd w:val="clear" w:color="auto" w:fill="auto"/>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有细胞毒性、遗传毒性、系统毒理学评价经验。</w:t>
            </w:r>
          </w:p>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研究方向：化合物的遗传毒性及分子机制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9" w:type="dxa"/>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352"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标准化</w:t>
            </w:r>
            <w:r>
              <w:rPr>
                <w:rFonts w:hint="eastAsia" w:asciiTheme="minorEastAsia" w:hAnsiTheme="minorEastAsia" w:eastAsiaTheme="minorEastAsia"/>
                <w:szCs w:val="21"/>
              </w:rPr>
              <w:t>中心</w:t>
            </w: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eastAsia="zh-CN"/>
              </w:rPr>
            </w:pPr>
            <w:r>
              <w:rPr>
                <w:rFonts w:hint="eastAsia"/>
              </w:rPr>
              <w:t>仪器科学与技术/控制科学与工程</w:t>
            </w:r>
            <w:r>
              <w:rPr>
                <w:rFonts w:hint="eastAsia"/>
                <w:lang w:eastAsia="zh-CN"/>
              </w:rPr>
              <w:t>等</w:t>
            </w:r>
            <w:r>
              <w:rPr>
                <w:rFonts w:hint="eastAsia"/>
              </w:rPr>
              <w:t>相关专业</w:t>
            </w:r>
          </w:p>
        </w:tc>
        <w:tc>
          <w:tcPr>
            <w:tcW w:w="1200" w:type="dxa"/>
            <w:tcBorders>
              <w:top w:val="single" w:color="auto" w:sz="4" w:space="0"/>
              <w:left w:val="single" w:color="auto" w:sz="4" w:space="0"/>
              <w:right w:val="single" w:color="auto" w:sz="4" w:space="0"/>
            </w:tcBorders>
            <w:shd w:val="clear" w:color="auto" w:fill="auto"/>
            <w:vAlign w:val="center"/>
          </w:tcPr>
          <w:p>
            <w:pPr>
              <w:spacing w:line="300" w:lineRule="exact"/>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博士毕业于985、211、双一流专业或国家级科研院所。参与过相关专业领域省部级科研项目或担任过科研团队分项负责人的优先考虑。未来主要开展远程计量测试技术、在线计量测试及智慧计量技术的研究。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9"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135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基因中心</w:t>
            </w: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rPr>
            </w:pPr>
            <w:r>
              <w:rPr>
                <w:rFonts w:hint="eastAsia"/>
              </w:rPr>
              <w:t>生物化学/化学</w:t>
            </w:r>
          </w:p>
        </w:tc>
        <w:tc>
          <w:tcPr>
            <w:tcW w:w="1200" w:type="dxa"/>
            <w:vMerge w:val="restart"/>
            <w:tcBorders>
              <w:top w:val="single" w:color="auto" w:sz="4" w:space="0"/>
              <w:left w:val="single" w:color="auto" w:sz="4" w:space="0"/>
              <w:right w:val="single" w:color="auto" w:sz="4" w:space="0"/>
            </w:tcBorders>
            <w:shd w:val="clear" w:color="auto" w:fill="auto"/>
            <w:vAlign w:val="center"/>
          </w:tcPr>
          <w:p>
            <w:pPr>
              <w:spacing w:line="300" w:lineRule="exact"/>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1人</w:t>
            </w: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博士期间从事植物生物化学或植物基因/蛋白功能研究。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lang w:val="en-US" w:eastAsia="zh-CN"/>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rPr>
            </w:pPr>
            <w:r>
              <w:rPr>
                <w:rFonts w:hint="eastAsia"/>
              </w:rPr>
              <w:t>分子生物学/生物工程</w:t>
            </w:r>
          </w:p>
        </w:tc>
        <w:tc>
          <w:tcPr>
            <w:tcW w:w="1200" w:type="dxa"/>
            <w:vMerge w:val="continue"/>
            <w:tcBorders>
              <w:left w:val="single" w:color="auto" w:sz="4" w:space="0"/>
              <w:right w:val="single" w:color="auto" w:sz="4" w:space="0"/>
            </w:tcBorders>
            <w:shd w:val="clear" w:color="auto" w:fill="auto"/>
            <w:vAlign w:val="center"/>
          </w:tcPr>
          <w:p>
            <w:pPr>
              <w:spacing w:line="300" w:lineRule="exact"/>
              <w:ind w:firstLine="420" w:firstLineChars="200"/>
              <w:jc w:val="left"/>
              <w:rPr>
                <w:rFonts w:hint="eastAsia" w:asciiTheme="minorEastAsia" w:hAnsiTheme="minorEastAsia" w:eastAsiaTheme="minorEastAsia"/>
                <w:szCs w:val="21"/>
                <w:lang w:val="en-US" w:eastAsia="zh-CN"/>
              </w:rPr>
            </w:pPr>
          </w:p>
        </w:tc>
        <w:tc>
          <w:tcPr>
            <w:tcW w:w="7275" w:type="dxa"/>
            <w:tcBorders>
              <w:top w:val="single" w:color="auto" w:sz="4" w:space="0"/>
              <w:left w:val="single" w:color="auto" w:sz="4" w:space="0"/>
              <w:bottom w:val="single" w:color="auto" w:sz="4" w:space="0"/>
              <w:right w:val="single" w:color="auto" w:sz="4" w:space="0"/>
            </w:tcBorders>
            <w:shd w:val="clear" w:color="auto" w:fill="auto"/>
            <w:vAlign w:val="top"/>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有植物生物学背景，熟悉分子生物学各类技术，有转录组分析/植物代谢产物分析研究等背景者优先。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lang w:val="en-US" w:eastAsia="zh-CN"/>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rPr>
            </w:pPr>
            <w:r>
              <w:rPr>
                <w:rFonts w:hint="eastAsia"/>
              </w:rPr>
              <w:t>生物信息学</w:t>
            </w:r>
          </w:p>
        </w:tc>
        <w:tc>
          <w:tcPr>
            <w:tcW w:w="1200" w:type="dxa"/>
            <w:vMerge w:val="continue"/>
            <w:tcBorders>
              <w:left w:val="single" w:color="auto" w:sz="4" w:space="0"/>
              <w:right w:val="single" w:color="auto" w:sz="4" w:space="0"/>
            </w:tcBorders>
            <w:shd w:val="clear" w:color="auto" w:fill="auto"/>
            <w:vAlign w:val="center"/>
          </w:tcPr>
          <w:p>
            <w:pPr>
              <w:spacing w:line="300" w:lineRule="exact"/>
              <w:ind w:firstLine="420" w:firstLineChars="200"/>
              <w:jc w:val="left"/>
              <w:rPr>
                <w:rFonts w:hint="eastAsia" w:asciiTheme="minorEastAsia" w:hAnsiTheme="minorEastAsia" w:eastAsiaTheme="minorEastAsia"/>
                <w:szCs w:val="21"/>
                <w:lang w:val="en-US" w:eastAsia="zh-CN"/>
              </w:rPr>
            </w:pP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具有生物信息学、基因组学等相关专业博士学位，在组学大数据、数据库开发方面有相关经验者优先。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29" w:type="dxa"/>
            <w:vMerge w:val="continue"/>
            <w:tcBorders>
              <w:left w:val="single" w:color="auto" w:sz="4" w:space="0"/>
              <w:right w:val="single" w:color="auto" w:sz="4" w:space="0"/>
            </w:tcBorders>
            <w:shd w:val="clear" w:color="auto" w:fill="auto"/>
            <w:vAlign w:val="center"/>
          </w:tcPr>
          <w:p>
            <w:pPr>
              <w:adjustRightInd w:val="0"/>
              <w:snapToGrid w:val="0"/>
              <w:spacing w:line="300" w:lineRule="exact"/>
              <w:jc w:val="center"/>
              <w:rPr>
                <w:rFonts w:hint="eastAsia" w:ascii="仿宋" w:hAnsi="仿宋" w:eastAsia="仿宋"/>
                <w:szCs w:val="21"/>
                <w:lang w:val="en-US" w:eastAsia="zh-CN"/>
              </w:rPr>
            </w:pPr>
          </w:p>
        </w:tc>
        <w:tc>
          <w:tcPr>
            <w:tcW w:w="1352" w:type="dxa"/>
            <w:vMerge w:val="continue"/>
            <w:tcBorders>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szCs w:val="21"/>
                <w:lang w:eastAsia="zh-CN"/>
              </w:rPr>
            </w:pPr>
          </w:p>
        </w:tc>
        <w:tc>
          <w:tcPr>
            <w:tcW w:w="4087"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rPr>
            </w:pPr>
            <w:r>
              <w:rPr>
                <w:rFonts w:hint="eastAsia"/>
              </w:rPr>
              <w:t>微生物学</w:t>
            </w:r>
          </w:p>
        </w:tc>
        <w:tc>
          <w:tcPr>
            <w:tcW w:w="1200" w:type="dxa"/>
            <w:vMerge w:val="continue"/>
            <w:tcBorders>
              <w:left w:val="single" w:color="auto" w:sz="4" w:space="0"/>
              <w:right w:val="single" w:color="auto" w:sz="4" w:space="0"/>
            </w:tcBorders>
            <w:shd w:val="clear" w:color="auto" w:fill="auto"/>
            <w:vAlign w:val="center"/>
          </w:tcPr>
          <w:p>
            <w:pPr>
              <w:spacing w:line="300" w:lineRule="exact"/>
              <w:ind w:firstLine="420" w:firstLineChars="200"/>
              <w:jc w:val="left"/>
              <w:rPr>
                <w:rFonts w:hint="eastAsia" w:asciiTheme="minorEastAsia" w:hAnsiTheme="minorEastAsia" w:eastAsiaTheme="minorEastAsia"/>
                <w:szCs w:val="21"/>
                <w:lang w:val="en-US" w:eastAsia="zh-CN"/>
              </w:rPr>
            </w:pPr>
          </w:p>
        </w:tc>
        <w:tc>
          <w:tcPr>
            <w:tcW w:w="7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具有微生物学、基因组学等相关专业博士学位，在微生物组方面有相关经验者优先。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168" w:type="dxa"/>
            <w:gridSpan w:val="3"/>
            <w:tcBorders>
              <w:left w:val="single" w:color="auto" w:sz="4" w:space="0"/>
              <w:right w:val="single" w:color="auto" w:sz="4" w:space="0"/>
            </w:tcBorders>
            <w:shd w:val="clear" w:color="auto" w:fill="auto"/>
            <w:vAlign w:val="center"/>
          </w:tcPr>
          <w:p>
            <w:pPr>
              <w:spacing w:line="3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合计</w:t>
            </w:r>
          </w:p>
        </w:tc>
        <w:tc>
          <w:tcPr>
            <w:tcW w:w="8475" w:type="dxa"/>
            <w:gridSpan w:val="2"/>
            <w:tcBorders>
              <w:left w:val="single" w:color="auto" w:sz="4" w:space="0"/>
              <w:right w:val="single" w:color="auto" w:sz="4" w:space="0"/>
            </w:tcBorders>
            <w:shd w:val="clear" w:color="auto" w:fill="auto"/>
            <w:vAlign w:val="center"/>
          </w:tcPr>
          <w:p>
            <w:pPr>
              <w:spacing w:line="300" w:lineRule="exact"/>
              <w:jc w:val="left"/>
              <w:rPr>
                <w:rFonts w:hint="eastAsia" w:asciiTheme="minorEastAsia" w:hAnsiTheme="minorEastAsia" w:eastAsiaTheme="minorEastAsia"/>
                <w:szCs w:val="21"/>
              </w:rPr>
            </w:pPr>
            <w:r>
              <w:rPr>
                <w:rFonts w:hint="eastAsia" w:ascii="仿宋" w:hAnsi="仿宋" w:eastAsia="仿宋"/>
                <w:szCs w:val="21"/>
                <w:lang w:val="en-US" w:eastAsia="zh-CN"/>
              </w:rPr>
              <w:t>7</w:t>
            </w:r>
            <w:bookmarkStart w:id="0" w:name="_GoBack"/>
            <w:bookmarkEnd w:id="0"/>
            <w:r>
              <w:rPr>
                <w:rFonts w:hint="eastAsia" w:ascii="仿宋" w:hAnsi="仿宋" w:eastAsia="仿宋"/>
                <w:szCs w:val="21"/>
                <w:lang w:val="en-US" w:eastAsia="zh-CN"/>
              </w:rPr>
              <w:t>人</w:t>
            </w:r>
          </w:p>
        </w:tc>
      </w:tr>
    </w:tbl>
    <w:p/>
    <w:sectPr>
      <w:pgSz w:w="16838" w:h="11906" w:orient="landscape"/>
      <w:pgMar w:top="1123" w:right="1043" w:bottom="106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3260"/>
    <w:rsid w:val="000009B1"/>
    <w:rsid w:val="000C76B4"/>
    <w:rsid w:val="00104A50"/>
    <w:rsid w:val="00111AE6"/>
    <w:rsid w:val="00184FC7"/>
    <w:rsid w:val="00202880"/>
    <w:rsid w:val="00280F73"/>
    <w:rsid w:val="002B2BF0"/>
    <w:rsid w:val="002E1AFA"/>
    <w:rsid w:val="00305964"/>
    <w:rsid w:val="00380BF4"/>
    <w:rsid w:val="003D3850"/>
    <w:rsid w:val="00454ED3"/>
    <w:rsid w:val="0051291F"/>
    <w:rsid w:val="005C5E39"/>
    <w:rsid w:val="005D73D9"/>
    <w:rsid w:val="006212C7"/>
    <w:rsid w:val="00630BDE"/>
    <w:rsid w:val="00664E87"/>
    <w:rsid w:val="006709F3"/>
    <w:rsid w:val="006B038F"/>
    <w:rsid w:val="006B70B8"/>
    <w:rsid w:val="007C01D8"/>
    <w:rsid w:val="007E110C"/>
    <w:rsid w:val="008F506F"/>
    <w:rsid w:val="00935ECB"/>
    <w:rsid w:val="00981B00"/>
    <w:rsid w:val="009D44D4"/>
    <w:rsid w:val="00A54ECE"/>
    <w:rsid w:val="00A93E86"/>
    <w:rsid w:val="00AB476B"/>
    <w:rsid w:val="00AF244B"/>
    <w:rsid w:val="00B03260"/>
    <w:rsid w:val="00B24660"/>
    <w:rsid w:val="00B3670A"/>
    <w:rsid w:val="00B62F0C"/>
    <w:rsid w:val="00B8534A"/>
    <w:rsid w:val="00B87563"/>
    <w:rsid w:val="00B915DD"/>
    <w:rsid w:val="00C13644"/>
    <w:rsid w:val="00CC52DD"/>
    <w:rsid w:val="00CE3601"/>
    <w:rsid w:val="00E61886"/>
    <w:rsid w:val="00EA62B5"/>
    <w:rsid w:val="00EA6472"/>
    <w:rsid w:val="00F13082"/>
    <w:rsid w:val="00F272CE"/>
    <w:rsid w:val="00F44D82"/>
    <w:rsid w:val="00FF7D90"/>
    <w:rsid w:val="059A3FAE"/>
    <w:rsid w:val="0B674330"/>
    <w:rsid w:val="120E3159"/>
    <w:rsid w:val="12542939"/>
    <w:rsid w:val="266A17A8"/>
    <w:rsid w:val="2B7C237A"/>
    <w:rsid w:val="2BBE4F9E"/>
    <w:rsid w:val="2DE2455F"/>
    <w:rsid w:val="2E220860"/>
    <w:rsid w:val="31B67B69"/>
    <w:rsid w:val="354F2DC5"/>
    <w:rsid w:val="40495475"/>
    <w:rsid w:val="434149E7"/>
    <w:rsid w:val="49F16A3B"/>
    <w:rsid w:val="4CB62483"/>
    <w:rsid w:val="512C2EEE"/>
    <w:rsid w:val="55D65F6A"/>
    <w:rsid w:val="575F4BAF"/>
    <w:rsid w:val="61E709F5"/>
    <w:rsid w:val="6D40568A"/>
    <w:rsid w:val="70080841"/>
    <w:rsid w:val="73143ED1"/>
    <w:rsid w:val="74517D11"/>
    <w:rsid w:val="7B9549DF"/>
    <w:rsid w:val="7FB42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uiPriority w:val="99"/>
    <w:rPr>
      <w:rFonts w:ascii="Calibri" w:hAnsi="Calibri" w:eastAsia="宋体" w:cs="Times New Roman"/>
      <w:sz w:val="18"/>
      <w:szCs w:val="18"/>
    </w:rPr>
  </w:style>
  <w:style w:type="character" w:customStyle="1" w:styleId="10">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105</Words>
  <Characters>604</Characters>
  <Lines>5</Lines>
  <Paragraphs>1</Paragraphs>
  <TotalTime>0</TotalTime>
  <ScaleCrop>false</ScaleCrop>
  <LinksUpToDate>false</LinksUpToDate>
  <CharactersWithSpaces>708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2014-07-10T08:18:00Z</dcterms:created>
  <dc:creator>赵欣</dc:creator>
  <cp:lastModifiedBy>新鲜心情</cp:lastModifiedBy>
  <cp:lastPrinted>2019-01-14T02:22:00Z</cp:lastPrinted>
  <dcterms:modified xsi:type="dcterms:W3CDTF">2021-01-20T03:43:12Z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